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/>
        <w:drawing>
          <wp:inline distT="0" distB="0" distL="0" distR="0">
            <wp:extent cx="6140450" cy="8444230"/>
            <wp:effectExtent l="0" t="0" r="0" b="0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4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/>
      </w:pPr>
      <w:r>
        <w:rPr>
          <w:sz w:val="24"/>
        </w:rPr>
        <w:t>Категории обслуживаемого населения по возрасту (дети, взрослые трудоспособного возраста, пожилые; все возрастные категории):  дети от 3-7 лет</w:t>
      </w:r>
    </w:p>
    <w:p>
      <w:pPr>
        <w:pStyle w:val="Normal"/>
        <w:widowControl/>
        <w:pBdr>
          <w:top w:val="single" w:sz="4" w:space="1" w:color="000001"/>
        </w:pBdr>
        <w:spacing w:before="0" w:after="120"/>
        <w:ind w:left="0" w:right="0" w:hanging="0"/>
        <w:jc w:val="both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ind w:left="0" w:right="0" w:hanging="0"/>
        <w:jc w:val="both"/>
        <w:textAlignment w:val="auto"/>
        <w:rPr/>
      </w:pPr>
      <w:r>
        <w:rPr>
          <w:sz w:val="24"/>
        </w:rPr>
        <w:t>Категории обслуживаемых инвалидов (инвалиды с нарушениями опорно-двигательного аппарата; нарушениями зрения, нарушениями слуха):  нет</w:t>
      </w:r>
    </w:p>
    <w:p>
      <w:pPr>
        <w:pStyle w:val="Normal"/>
        <w:widowControl/>
        <w:pBdr>
          <w:top w:val="single" w:sz="4" w:space="1" w:color="000001"/>
        </w:pBdr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spacing w:before="240" w:after="240"/>
        <w:ind w:left="0" w:right="0" w:hanging="0"/>
        <w:jc w:val="center"/>
        <w:textAlignment w:val="auto"/>
        <w:rPr/>
      </w:pPr>
      <w:r>
        <w:rPr>
          <w:sz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66"/>
        <w:gridCol w:w="7258"/>
        <w:gridCol w:w="2155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№</w:t>
            </w:r>
            <w:r>
              <w:rPr/>
              <w:br/>
            </w:r>
            <w:r>
              <w:rPr/>
              <w:t>п/п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Основные показатели доступности для инвалидов объекта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Оценка состояния и имеющихся недостат</w:t>
              <w:softHyphen/>
              <w:t>ков в обеспечении условий доступности для инвалидов объекта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выделенные стоянки автотранспортных средств для инвалидов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сменные кресла-коляски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адаптированные лифты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4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поручни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5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пандусы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6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подъёмные платформы (аппарели)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7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раздвижные двери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8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доступные входные группы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9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доступные санитарно-гигиенические помещения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достаточная ширина дверных проёмов в стенах, лестничных маршей, площадок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14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иные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</w:tbl>
    <w:p>
      <w:pPr>
        <w:pStyle w:val="Normal"/>
        <w:widowControl/>
        <w:spacing w:before="0" w:after="240"/>
        <w:ind w:left="0" w:right="0" w:hanging="0"/>
        <w:jc w:val="center"/>
        <w:textAlignment w:val="auto"/>
        <w:rPr/>
      </w:pPr>
      <w:r>
        <w:br w:type="page"/>
      </w:r>
      <w:r>
        <w:rPr>
          <w:sz w:val="24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66"/>
        <w:gridCol w:w="7259"/>
        <w:gridCol w:w="2155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№</w:t>
            </w:r>
            <w:r>
              <w:rPr/>
              <w:br/>
            </w:r>
            <w:r>
              <w:rPr/>
              <w:t>п/п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Основные показатели доступности для инвалидов</w:t>
            </w:r>
            <w:r>
              <w:rPr/>
              <w:br/>
            </w:r>
            <w:r>
              <w:rPr/>
              <w:t>предоставляемой услуги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Оценка состояния и имеющихся недостат</w:t>
              <w:softHyphen/>
              <w:t>ков в обеспечении условий доступности для инвалидов предо</w:t>
              <w:softHyphen/>
              <w:t>ставляемой услуги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4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5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6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7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8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9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обеспечение предоставления услуг тьютора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иные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</w:tbl>
    <w:p>
      <w:pPr>
        <w:pStyle w:val="Normal"/>
        <w:widowControl/>
        <w:spacing w:before="240" w:after="240"/>
        <w:ind w:left="0" w:right="0" w:hanging="0"/>
        <w:jc w:val="center"/>
        <w:textAlignment w:val="auto"/>
        <w:rPr/>
      </w:pPr>
      <w:r>
        <w:rPr>
          <w:sz w:val="24"/>
        </w:rPr>
        <w:t>V. ПРЕДЛАГАЕМЫЕ УПРАВЛЕНЧЕСКИЕ РЕШЕНИЯ ПО СРОКАМ</w:t>
      </w:r>
      <w:r>
        <w:rPr/>
        <w:br/>
      </w:r>
      <w:r>
        <w:rPr>
          <w:sz w:val="24"/>
        </w:rPr>
        <w:t>И ОБЪЁМАМ РАБОТ, НЕОБХОДИМЫМ ДЛЯ ПРИВЕДЕНИЯ ОБЪЕКТА</w:t>
      </w:r>
      <w:r>
        <w:rPr/>
        <w:br/>
      </w:r>
      <w:r>
        <w:rPr>
          <w:sz w:val="24"/>
        </w:rPr>
        <w:t>И ПОРЯДКА ПРЕДОСТАВЛЕНИЯ НА НЕМ УСЛУГ В СООТВЕТСТВИЕ</w:t>
      </w:r>
      <w:r>
        <w:rPr/>
        <w:br/>
      </w:r>
      <w:r>
        <w:rPr>
          <w:sz w:val="24"/>
        </w:rPr>
        <w:t>С ТРЕБОВАНИЯМИ ЗАКОНОДАТЕЛЬСТВА РОССИЙСКОЙ ФЕДЕРАЦИИ</w:t>
      </w:r>
      <w:r>
        <w:rPr/>
        <w:br/>
      </w:r>
      <w:r>
        <w:rPr>
          <w:sz w:val="24"/>
        </w:rPr>
        <w:t>ОБ ОБЕСПЕЧЕНИИ УСЛОВИЙ ИХ ДОСТУПНОСТИ ДЛЯ ИНВАЛИДОВ</w:t>
      </w:r>
    </w:p>
    <w:tbl>
      <w:tblPr>
        <w:tblW w:w="998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66"/>
        <w:gridCol w:w="7541"/>
        <w:gridCol w:w="1873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№</w:t>
            </w:r>
            <w:r>
              <w:rPr/>
              <w:br/>
            </w:r>
            <w:r>
              <w:rPr/>
              <w:t>п/п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Footnotereference"/>
              </w:rPr>
              <w:t>*</w:t>
            </w:r>
            <w:r>
              <w:rPr>
                <w:rStyle w:val="Footnotereference"/>
                <w:rStyle w:val="Style19"/>
              </w:rPr>
              <w:footnoteReference w:id="2"/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Сроки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/>
              <w:t>обозначение стоянки автотранспортных средств для инвалидов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автостоянка не предусмотрена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/>
              <w:t>сменные кресла-коляски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/>
              <w:t>адаптированные лифты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в саду лифты не предусмотрены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4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поручни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5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пандусы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6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подъёмные платформы (аппарели)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7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раздвижные двери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8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доступные входные группы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 предусмотрены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9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доступные санитарно-гигиенические помещения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 предусмотрены в планировке сада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достаточная ширина дверных проёмов в стенах, лестничных маршей, площадок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 предусмотрена планировкой сада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tbl>
      <w:tblPr>
        <w:tblW w:w="998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66"/>
        <w:gridCol w:w="7541"/>
        <w:gridCol w:w="1873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№</w:t>
            </w:r>
            <w:r>
              <w:rPr/>
              <w:br/>
            </w:r>
            <w:r>
              <w:rPr/>
              <w:t>п/п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Сроки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/>
              <w:t>обеспечение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2018-2024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2018-2023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2018-2023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4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возложить на работников организации, административно-распорядительным актом оказание инвалидам помощи при предоставлении им услуг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2018-2019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5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2018-2023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6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2018-2024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7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для предоставления услуг транспортных средств не требуется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8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2018-2023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9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установить в музыкальном зале индукционные петли и звукоусиливающую аппаратуру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2018-2023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обеспечение предоставления услуг тьютора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2018-2024 г.</w:t>
            </w:r>
          </w:p>
        </w:tc>
      </w:tr>
    </w:tbl>
    <w:p>
      <w:pPr>
        <w:pStyle w:val="Normal"/>
        <w:widowControl/>
        <w:spacing w:before="0" w:after="480"/>
        <w:ind w:left="0" w:right="0" w:hanging="0"/>
        <w:jc w:val="left"/>
        <w:textAlignment w:val="auto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rPr/>
      </w:pPr>
      <w:r>
        <w:rPr>
          <w:rStyle w:val="Footnotereference"/>
          <w:sz w:val="20"/>
          <w:lang w:val="ru-RU" w:eastAsia="ru-RU"/>
        </w:rPr>
        <w:footnoteRef/>
        <w:tab/>
        <w:t>*</w:t>
      </w:r>
      <w:r>
        <w:rPr>
          <w:sz w:val="20"/>
          <w:lang w:val="ru-RU" w:eastAsia="ru-RU"/>
        </w:rP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Symbol"/>
      <w:color w:val="auto"/>
      <w:sz w:val="20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/>
      <w:sz w:val="20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/>
      <w:sz w:val="20"/>
    </w:rPr>
  </w:style>
  <w:style w:type="character" w:styleId="Style16">
    <w:name w:val="Текст сноски Знак"/>
    <w:basedOn w:val="DefaultParagraphFont"/>
    <w:qFormat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7">
    <w:name w:val="Текст концевой сноски Знак"/>
    <w:basedOn w:val="DefaultParagraphFont"/>
    <w:qFormat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alibri" w:hAnsi="Calibri" w:eastAsia="Courier New" w:cs="Symbol"/>
      <w:color w:val="auto"/>
      <w:sz w:val="20"/>
      <w:szCs w:val="24"/>
      <w:lang w:val="ru-RU" w:eastAsia="ru-RU" w:bidi="hi-IN"/>
    </w:rPr>
  </w:style>
  <w:style w:type="paragraph" w:styleId="Style27">
    <w:name w:val="Header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Style28">
    <w:name w:val="Footer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Footnotetext">
    <w:name w:val="footnote text"/>
    <w:basedOn w:val="Normal"/>
    <w:qFormat/>
    <w:pPr>
      <w:widowControl/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ConsNormal">
    <w:name w:val="ConsNormal"/>
    <w:qFormat/>
    <w:pPr>
      <w:widowControl/>
      <w:bidi w:val="0"/>
      <w:ind w:left="0" w:right="19772" w:hanging="0"/>
      <w:jc w:val="both"/>
      <w:textAlignment w:val="auto"/>
    </w:pPr>
    <w:rPr>
      <w:rFonts w:ascii="Courier New" w:hAnsi="Courier New" w:eastAsia="Courier New" w:cs="Symbol"/>
      <w:color w:val="auto"/>
      <w:sz w:val="20"/>
      <w:szCs w:val="24"/>
      <w:lang w:val="ru-RU" w:eastAsia="ru-RU" w:bidi="hi-IN"/>
    </w:rPr>
  </w:style>
  <w:style w:type="paragraph" w:styleId="ConsDTNormal">
    <w:name w:val="ConsDTNormal"/>
    <w:qFormat/>
    <w:pPr>
      <w:widowControl/>
      <w:bidi w:val="0"/>
      <w:ind w:left="0" w:right="0" w:hanging="0"/>
      <w:jc w:val="both"/>
      <w:textAlignment w:val="auto"/>
    </w:pPr>
    <w:rPr>
      <w:rFonts w:ascii="Times New Roman" w:hAnsi="Times New Roman" w:eastAsia="Courier New" w:cs="Symbol"/>
      <w:color w:val="auto"/>
      <w:sz w:val="24"/>
      <w:szCs w:val="24"/>
      <w:lang w:val="ru-RU" w:eastAsia="ru-RU" w:bidi="hi-IN"/>
    </w:rPr>
  </w:style>
  <w:style w:type="paragraph" w:styleId="ConsPlusNormal">
    <w:name w:val="ConsPlusNormal"/>
    <w:qFormat/>
    <w:pPr>
      <w:widowControl/>
      <w:bidi w:val="0"/>
      <w:ind w:left="0" w:right="0" w:hanging="0"/>
      <w:jc w:val="left"/>
      <w:textAlignment w:val="auto"/>
    </w:pPr>
    <w:rPr>
      <w:rFonts w:ascii="Arial" w:hAnsi="Arial" w:eastAsia="Courier New" w:cs="Symbol"/>
      <w:color w:val="auto"/>
      <w:sz w:val="24"/>
      <w:szCs w:val="24"/>
      <w:lang w:val="ru-RU" w:eastAsia="ru-RU" w:bidi="hi-IN"/>
    </w:rPr>
  </w:style>
  <w:style w:type="paragraph" w:styleId="ConsPlusNonformat">
    <w:name w:val="ConsPlusNonformat"/>
    <w:qFormat/>
    <w:pPr>
      <w:widowControl/>
      <w:bidi w:val="0"/>
      <w:ind w:left="0" w:right="0" w:hanging="0"/>
      <w:jc w:val="left"/>
      <w:textAlignment w:val="auto"/>
    </w:pPr>
    <w:rPr>
      <w:rFonts w:ascii="Courier New" w:hAnsi="Courier New" w:eastAsia="Courier New" w:cs="Symbol"/>
      <w:color w:val="auto"/>
      <w:sz w:val="20"/>
      <w:szCs w:val="24"/>
      <w:lang w:val="ru-RU" w:eastAsia="ru-RU" w:bidi="hi-IN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Style29">
    <w:name w:val="Foot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99</Pages>
  <Words>1122</Words>
  <Characters>7509</Characters>
  <CharactersWithSpaces>6402</CharactersWithSpace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2017-03-21T15:25:00Z</dcterms:created>
  <dc:creator>КонсультантПлюс</dc:creator>
  <dc:description/>
  <dc:language>ru-RU</dc:language>
  <cp:lastModifiedBy/>
  <cp:lastPrinted>2016-04-12T17:37:00Z</cp:lastPrinted>
  <dcterms:modified xsi:type="dcterms:W3CDTF">2018-06-18T16:10:00Z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Sun</vt:lpwstr>
  </property>
</Properties>
</file>